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60B" w:rsidRPr="008049B1" w:rsidRDefault="006403FB" w:rsidP="006403FB">
      <w:pPr>
        <w:spacing w:after="0" w:line="240" w:lineRule="auto"/>
        <w:rPr>
          <w:b/>
        </w:rPr>
      </w:pPr>
      <w:r w:rsidRPr="008049B1">
        <w:rPr>
          <w:b/>
        </w:rPr>
        <w:t>English 211: Women and Literature</w:t>
      </w:r>
    </w:p>
    <w:p w:rsidR="006403FB" w:rsidRDefault="006403FB" w:rsidP="006403FB">
      <w:pPr>
        <w:spacing w:after="0" w:line="240" w:lineRule="auto"/>
      </w:pPr>
      <w:r>
        <w:t>Fall 2010</w:t>
      </w:r>
    </w:p>
    <w:p w:rsidR="006403FB" w:rsidRDefault="006403FB" w:rsidP="006403FB">
      <w:pPr>
        <w:spacing w:after="0" w:line="240" w:lineRule="auto"/>
      </w:pPr>
      <w:r>
        <w:t>Dr. D’Amico</w:t>
      </w:r>
    </w:p>
    <w:p w:rsidR="006403FB" w:rsidRDefault="006403FB" w:rsidP="006403FB">
      <w:pPr>
        <w:spacing w:after="0" w:line="240" w:lineRule="auto"/>
      </w:pPr>
      <w:r>
        <w:t>Office: Odd Fellows 231</w:t>
      </w:r>
    </w:p>
    <w:p w:rsidR="006403FB" w:rsidRDefault="006403FB" w:rsidP="006403FB">
      <w:pPr>
        <w:spacing w:after="0" w:line="240" w:lineRule="auto"/>
      </w:pPr>
      <w:r>
        <w:t xml:space="preserve">Email: </w:t>
      </w:r>
      <w:hyperlink r:id="rId4" w:history="1">
        <w:r w:rsidRPr="00432436">
          <w:rPr>
            <w:rStyle w:val="Hyperlink"/>
          </w:rPr>
          <w:t>diane.damico@allegheny.edu</w:t>
        </w:r>
      </w:hyperlink>
    </w:p>
    <w:p w:rsidR="006403FB" w:rsidRDefault="006403FB" w:rsidP="006403FB">
      <w:pPr>
        <w:spacing w:after="0" w:line="240" w:lineRule="auto"/>
      </w:pPr>
      <w:r>
        <w:t>Office Hours: Mon., Wed. Friday (8:50-9:50), Wed. (1:30-2:30), Tuesday and Thursday (10:45-11:45).  If these times conflict with your other course meetings, just see me after class to set up a time that is convenient for both of us.</w:t>
      </w:r>
    </w:p>
    <w:p w:rsidR="006403FB" w:rsidRDefault="006403FB" w:rsidP="006403FB">
      <w:pPr>
        <w:spacing w:after="0" w:line="240" w:lineRule="auto"/>
      </w:pPr>
    </w:p>
    <w:p w:rsidR="006403FB" w:rsidRDefault="006403FB" w:rsidP="006403FB">
      <w:pPr>
        <w:spacing w:after="0" w:line="240" w:lineRule="auto"/>
      </w:pPr>
      <w:r w:rsidRPr="006403FB">
        <w:rPr>
          <w:b/>
        </w:rPr>
        <w:t xml:space="preserve">Course </w:t>
      </w:r>
      <w:r w:rsidR="007047D4">
        <w:rPr>
          <w:b/>
        </w:rPr>
        <w:t xml:space="preserve">Title </w:t>
      </w:r>
      <w:r w:rsidR="002B40D4">
        <w:rPr>
          <w:b/>
        </w:rPr>
        <w:t xml:space="preserve">and </w:t>
      </w:r>
      <w:r w:rsidRPr="006403FB">
        <w:rPr>
          <w:b/>
        </w:rPr>
        <w:t>Description</w:t>
      </w:r>
      <w:r>
        <w:t xml:space="preserve">:  </w:t>
      </w:r>
      <w:r w:rsidRPr="00AE17B7">
        <w:rPr>
          <w:b/>
        </w:rPr>
        <w:t>Communities of Women</w:t>
      </w:r>
      <w:r w:rsidR="002B40D4" w:rsidRPr="00AE17B7">
        <w:rPr>
          <w:b/>
        </w:rPr>
        <w:t>.</w:t>
      </w:r>
      <w:r w:rsidR="002B40D4">
        <w:t xml:space="preserve"> </w:t>
      </w:r>
      <w:r w:rsidR="007047D4">
        <w:t>In designing this course and choosing this title, I have two main areas of focus.  W</w:t>
      </w:r>
      <w:r w:rsidR="002B40D4">
        <w:t xml:space="preserve">e shall explore the ways in which women authors have written about women, concentrating on female friendship and female rivalry. </w:t>
      </w:r>
      <w:r w:rsidR="007047D4">
        <w:t>(The topic of female rivalry usually involves the marriage plot, so at times we shall consider husbands and fathers</w:t>
      </w:r>
      <w:r w:rsidR="00784815">
        <w:t>.)</w:t>
      </w:r>
      <w:r w:rsidR="007047D4">
        <w:t xml:space="preserve"> Second, we shall focus on </w:t>
      </w:r>
      <w:r w:rsidR="009474A9">
        <w:t xml:space="preserve">the </w:t>
      </w:r>
      <w:r w:rsidR="007047D4">
        <w:t xml:space="preserve">female author’s response to her literary foremothers.  </w:t>
      </w:r>
      <w:r w:rsidR="009474A9">
        <w:t>My own area of study is the 19</w:t>
      </w:r>
      <w:r w:rsidR="009474A9" w:rsidRPr="009474A9">
        <w:rPr>
          <w:vertAlign w:val="superscript"/>
        </w:rPr>
        <w:t>th</w:t>
      </w:r>
      <w:r w:rsidR="009474A9">
        <w:t xml:space="preserve"> century and early 20</w:t>
      </w:r>
      <w:r w:rsidR="009474A9" w:rsidRPr="009474A9">
        <w:rPr>
          <w:vertAlign w:val="superscript"/>
        </w:rPr>
        <w:t>th</w:t>
      </w:r>
      <w:r w:rsidR="009474A9">
        <w:t xml:space="preserve"> century, so you will see that the texts we shall read belong to those periods. </w:t>
      </w:r>
      <w:r w:rsidR="0097783F">
        <w:t xml:space="preserve"> My selection intentionally represents both American and Brit</w:t>
      </w:r>
      <w:r w:rsidR="00537602">
        <w:t>ish writers, and I have paired texts so as to invite us to consider cross-cultural comparison</w:t>
      </w:r>
      <w:r w:rsidR="00CA6926">
        <w:t>s</w:t>
      </w:r>
      <w:r w:rsidR="00537602">
        <w:t xml:space="preserve"> and questions of literary influence. </w:t>
      </w:r>
      <w:r w:rsidR="009474A9">
        <w:t xml:space="preserve"> </w:t>
      </w:r>
    </w:p>
    <w:p w:rsidR="00185209" w:rsidRDefault="00185209" w:rsidP="006403FB">
      <w:pPr>
        <w:spacing w:after="0" w:line="240" w:lineRule="auto"/>
      </w:pPr>
    </w:p>
    <w:p w:rsidR="00185209" w:rsidRPr="0055143C" w:rsidRDefault="00185209" w:rsidP="006403FB">
      <w:pPr>
        <w:spacing w:after="0" w:line="240" w:lineRule="auto"/>
        <w:rPr>
          <w:b/>
        </w:rPr>
      </w:pPr>
      <w:r w:rsidRPr="0055143C">
        <w:rPr>
          <w:b/>
        </w:rPr>
        <w:t xml:space="preserve">Texts:   </w:t>
      </w:r>
    </w:p>
    <w:p w:rsidR="00185209" w:rsidRDefault="00185209" w:rsidP="006403FB">
      <w:pPr>
        <w:spacing w:after="0" w:line="240" w:lineRule="auto"/>
      </w:pPr>
      <w:r>
        <w:tab/>
        <w:t xml:space="preserve">Gaskell, </w:t>
      </w:r>
      <w:r w:rsidRPr="0055143C">
        <w:rPr>
          <w:i/>
        </w:rPr>
        <w:t>Cranford</w:t>
      </w:r>
      <w:r w:rsidR="00065A24">
        <w:t xml:space="preserve"> (1853)</w:t>
      </w:r>
    </w:p>
    <w:p w:rsidR="00185209" w:rsidRPr="00065A24" w:rsidRDefault="00185209" w:rsidP="006403FB">
      <w:pPr>
        <w:spacing w:after="0" w:line="240" w:lineRule="auto"/>
      </w:pPr>
      <w:r>
        <w:tab/>
        <w:t xml:space="preserve">Jewett, </w:t>
      </w:r>
      <w:r w:rsidRPr="0055143C">
        <w:rPr>
          <w:i/>
        </w:rPr>
        <w:t>The Country of the Pointed Firs</w:t>
      </w:r>
      <w:r w:rsidR="00065A24">
        <w:rPr>
          <w:i/>
        </w:rPr>
        <w:t xml:space="preserve"> </w:t>
      </w:r>
      <w:r w:rsidR="00065A24" w:rsidRPr="00065A24">
        <w:t>(1896)</w:t>
      </w:r>
    </w:p>
    <w:p w:rsidR="00185209" w:rsidRPr="00065A24" w:rsidRDefault="00185209" w:rsidP="006403FB">
      <w:pPr>
        <w:spacing w:after="0" w:line="240" w:lineRule="auto"/>
      </w:pPr>
      <w:r>
        <w:tab/>
        <w:t xml:space="preserve">Eliot, </w:t>
      </w:r>
      <w:r w:rsidR="0055143C" w:rsidRPr="0055143C">
        <w:rPr>
          <w:i/>
        </w:rPr>
        <w:t xml:space="preserve">The </w:t>
      </w:r>
      <w:r w:rsidRPr="0055143C">
        <w:rPr>
          <w:i/>
        </w:rPr>
        <w:t>Mill on the Floss</w:t>
      </w:r>
      <w:r w:rsidR="00065A24">
        <w:rPr>
          <w:i/>
        </w:rPr>
        <w:t xml:space="preserve"> </w:t>
      </w:r>
      <w:r w:rsidR="00065A24">
        <w:t>(1860)</w:t>
      </w:r>
    </w:p>
    <w:p w:rsidR="00185209" w:rsidRDefault="00185209" w:rsidP="006403FB">
      <w:pPr>
        <w:spacing w:after="0" w:line="240" w:lineRule="auto"/>
      </w:pPr>
      <w:r>
        <w:tab/>
        <w:t xml:space="preserve">Wharton, </w:t>
      </w:r>
      <w:r w:rsidRPr="0055143C">
        <w:rPr>
          <w:i/>
        </w:rPr>
        <w:t>Summer</w:t>
      </w:r>
      <w:r w:rsidR="00065A24">
        <w:rPr>
          <w:i/>
        </w:rPr>
        <w:t xml:space="preserve"> (1917)</w:t>
      </w:r>
    </w:p>
    <w:p w:rsidR="00185209" w:rsidRDefault="00185209" w:rsidP="006403FB">
      <w:pPr>
        <w:spacing w:after="0" w:line="240" w:lineRule="auto"/>
      </w:pPr>
      <w:r>
        <w:tab/>
        <w:t xml:space="preserve">E. B. Browning, </w:t>
      </w:r>
      <w:r w:rsidRPr="0055143C">
        <w:rPr>
          <w:i/>
        </w:rPr>
        <w:t>Selected Poems</w:t>
      </w:r>
      <w:r>
        <w:t xml:space="preserve"> (Broadview edition)</w:t>
      </w:r>
    </w:p>
    <w:p w:rsidR="00185209" w:rsidRDefault="00185209" w:rsidP="006403FB">
      <w:pPr>
        <w:spacing w:after="0" w:line="240" w:lineRule="auto"/>
      </w:pPr>
      <w:r>
        <w:tab/>
        <w:t xml:space="preserve">C. Rossetti, </w:t>
      </w:r>
      <w:r w:rsidRPr="0055143C">
        <w:rPr>
          <w:i/>
        </w:rPr>
        <w:t>Poems and Prose</w:t>
      </w:r>
      <w:r>
        <w:t xml:space="preserve"> (Oxford edition)</w:t>
      </w:r>
    </w:p>
    <w:p w:rsidR="00185209" w:rsidRDefault="00185209" w:rsidP="006403FB">
      <w:pPr>
        <w:spacing w:after="0" w:line="240" w:lineRule="auto"/>
      </w:pPr>
      <w:r>
        <w:tab/>
        <w:t xml:space="preserve">P. Wheatley, </w:t>
      </w:r>
      <w:r w:rsidRPr="0055143C">
        <w:rPr>
          <w:i/>
        </w:rPr>
        <w:t>Poems with Letters and a Memoir</w:t>
      </w:r>
      <w:r>
        <w:t xml:space="preserve"> (Dover edition)</w:t>
      </w:r>
    </w:p>
    <w:p w:rsidR="00185209" w:rsidRDefault="00185209" w:rsidP="006403FB">
      <w:pPr>
        <w:spacing w:after="0" w:line="240" w:lineRule="auto"/>
      </w:pPr>
      <w:r>
        <w:tab/>
        <w:t xml:space="preserve">E. Dickinson, </w:t>
      </w:r>
      <w:r w:rsidRPr="0055143C">
        <w:rPr>
          <w:i/>
        </w:rPr>
        <w:t>Selected Poems</w:t>
      </w:r>
      <w:r>
        <w:t xml:space="preserve"> (Dover edition)</w:t>
      </w:r>
    </w:p>
    <w:p w:rsidR="00185209" w:rsidRDefault="00185209" w:rsidP="006403FB">
      <w:pPr>
        <w:spacing w:after="0" w:line="240" w:lineRule="auto"/>
      </w:pPr>
      <w:r>
        <w:tab/>
        <w:t xml:space="preserve">Course Packet: </w:t>
      </w:r>
      <w:r w:rsidRPr="0055143C">
        <w:rPr>
          <w:i/>
        </w:rPr>
        <w:t>Ghost Stories by Women Writers</w:t>
      </w:r>
      <w:r>
        <w:t xml:space="preserve"> (American and British)</w:t>
      </w:r>
    </w:p>
    <w:p w:rsidR="006403FB" w:rsidRDefault="006403FB" w:rsidP="006403FB">
      <w:pPr>
        <w:spacing w:after="0" w:line="240" w:lineRule="auto"/>
      </w:pPr>
    </w:p>
    <w:p w:rsidR="006403FB" w:rsidRDefault="0055143C" w:rsidP="006403FB">
      <w:pPr>
        <w:spacing w:after="0" w:line="240" w:lineRule="auto"/>
      </w:pPr>
      <w:r w:rsidRPr="0055143C">
        <w:rPr>
          <w:b/>
        </w:rPr>
        <w:t>Schedule of Readings and Written Assignments</w:t>
      </w:r>
      <w:r>
        <w:t>:</w:t>
      </w:r>
    </w:p>
    <w:p w:rsidR="0055143C" w:rsidRDefault="0055143C" w:rsidP="006403FB">
      <w:pPr>
        <w:spacing w:after="0" w:line="240" w:lineRule="auto"/>
      </w:pPr>
    </w:p>
    <w:p w:rsidR="0055143C" w:rsidRDefault="0055143C" w:rsidP="006403FB">
      <w:pPr>
        <w:spacing w:after="0" w:line="240" w:lineRule="auto"/>
      </w:pPr>
      <w:r>
        <w:t>August 26:</w:t>
      </w:r>
      <w:r>
        <w:tab/>
        <w:t>Introduction</w:t>
      </w:r>
      <w:r w:rsidR="0031397B">
        <w:t xml:space="preserve"> to the</w:t>
      </w:r>
      <w:r w:rsidR="00731DC3">
        <w:t xml:space="preserve"> course</w:t>
      </w:r>
    </w:p>
    <w:p w:rsidR="00731DC3" w:rsidRDefault="00731DC3" w:rsidP="006403FB">
      <w:pPr>
        <w:spacing w:after="0" w:line="240" w:lineRule="auto"/>
      </w:pPr>
      <w:r>
        <w:tab/>
      </w:r>
      <w:r>
        <w:tab/>
        <w:t>Abrams, “Feminist Criticism” (handout)</w:t>
      </w:r>
    </w:p>
    <w:p w:rsidR="0055143C" w:rsidRDefault="0055143C" w:rsidP="006403FB">
      <w:pPr>
        <w:spacing w:after="0" w:line="240" w:lineRule="auto"/>
      </w:pPr>
    </w:p>
    <w:p w:rsidR="0055143C" w:rsidRDefault="0031397B" w:rsidP="006403FB">
      <w:pPr>
        <w:spacing w:after="0" w:line="240" w:lineRule="auto"/>
      </w:pPr>
      <w:r>
        <w:t xml:space="preserve">Aug. </w:t>
      </w:r>
      <w:r w:rsidR="0055143C">
        <w:t>31</w:t>
      </w:r>
      <w:r>
        <w:t>:</w:t>
      </w:r>
      <w:r>
        <w:tab/>
        <w:t xml:space="preserve">Gaskell, </w:t>
      </w:r>
      <w:r w:rsidR="00784815" w:rsidRPr="00646148">
        <w:rPr>
          <w:i/>
        </w:rPr>
        <w:t>Cranford</w:t>
      </w:r>
      <w:r w:rsidR="00784815">
        <w:t xml:space="preserve"> (</w:t>
      </w:r>
      <w:r w:rsidR="00646148">
        <w:t>pp. 5-96)</w:t>
      </w:r>
    </w:p>
    <w:p w:rsidR="0055143C" w:rsidRDefault="0055143C" w:rsidP="006403FB">
      <w:pPr>
        <w:spacing w:after="0" w:line="240" w:lineRule="auto"/>
      </w:pPr>
    </w:p>
    <w:p w:rsidR="0055143C" w:rsidRDefault="0055143C" w:rsidP="006403FB">
      <w:pPr>
        <w:spacing w:after="0" w:line="240" w:lineRule="auto"/>
      </w:pPr>
      <w:r>
        <w:t>Sept. 2:</w:t>
      </w:r>
      <w:r w:rsidR="0031397B">
        <w:tab/>
      </w:r>
      <w:r w:rsidR="0031397B">
        <w:tab/>
        <w:t xml:space="preserve">Gaskell, </w:t>
      </w:r>
      <w:r w:rsidR="00784815" w:rsidRPr="00646148">
        <w:rPr>
          <w:i/>
        </w:rPr>
        <w:t xml:space="preserve">Cranford </w:t>
      </w:r>
      <w:r w:rsidR="00784815">
        <w:t>(</w:t>
      </w:r>
      <w:r w:rsidR="00646148">
        <w:t>pp. 97-150)</w:t>
      </w:r>
    </w:p>
    <w:p w:rsidR="0055143C" w:rsidRDefault="0055143C" w:rsidP="006403FB">
      <w:pPr>
        <w:spacing w:after="0" w:line="240" w:lineRule="auto"/>
      </w:pPr>
    </w:p>
    <w:p w:rsidR="0055143C" w:rsidRDefault="008F5D2A" w:rsidP="006403FB">
      <w:pPr>
        <w:spacing w:after="0" w:line="240" w:lineRule="auto"/>
      </w:pPr>
      <w:r>
        <w:t>Sept. 7</w:t>
      </w:r>
      <w:r w:rsidR="0055143C">
        <w:t>:</w:t>
      </w:r>
      <w:r w:rsidR="0031397B">
        <w:tab/>
      </w:r>
      <w:r w:rsidR="0031397B">
        <w:tab/>
        <w:t xml:space="preserve">Gaskell, </w:t>
      </w:r>
      <w:r w:rsidR="0031397B" w:rsidRPr="00646148">
        <w:rPr>
          <w:i/>
        </w:rPr>
        <w:t xml:space="preserve">Cranford </w:t>
      </w:r>
      <w:r w:rsidR="00646148">
        <w:t xml:space="preserve">  (pp. 151-187, and appendix (pp. 190-225)</w:t>
      </w:r>
    </w:p>
    <w:p w:rsidR="0055143C" w:rsidRDefault="0055143C" w:rsidP="006403FB">
      <w:pPr>
        <w:spacing w:after="0" w:line="240" w:lineRule="auto"/>
      </w:pPr>
    </w:p>
    <w:p w:rsidR="0055143C" w:rsidRDefault="0055143C" w:rsidP="006403FB">
      <w:pPr>
        <w:spacing w:after="0" w:line="240" w:lineRule="auto"/>
      </w:pPr>
      <w:r>
        <w:t>Sept</w:t>
      </w:r>
      <w:r w:rsidR="008F5D2A">
        <w:t>. 9:</w:t>
      </w:r>
      <w:r w:rsidR="0031397B">
        <w:tab/>
      </w:r>
      <w:r w:rsidR="0031397B">
        <w:tab/>
        <w:t xml:space="preserve">Jewett, </w:t>
      </w:r>
      <w:r w:rsidR="0031397B" w:rsidRPr="00646148">
        <w:rPr>
          <w:i/>
        </w:rPr>
        <w:t xml:space="preserve">The Country of the Pointed </w:t>
      </w:r>
      <w:r w:rsidR="00784815" w:rsidRPr="00646148">
        <w:rPr>
          <w:i/>
        </w:rPr>
        <w:t>Firs</w:t>
      </w:r>
      <w:r w:rsidR="00784815">
        <w:t xml:space="preserve"> (</w:t>
      </w:r>
      <w:r w:rsidR="00646148">
        <w:t>pp. 41-81)</w:t>
      </w:r>
    </w:p>
    <w:p w:rsidR="00D322E8" w:rsidRDefault="00D322E8" w:rsidP="006403FB">
      <w:pPr>
        <w:spacing w:after="0" w:line="240" w:lineRule="auto"/>
      </w:pPr>
      <w:r>
        <w:tab/>
      </w:r>
      <w:r>
        <w:tab/>
        <w:t>Smith-Rosenberg, “The Female World of Love and Ritual”</w:t>
      </w:r>
      <w:r w:rsidR="00BE08D0">
        <w:t xml:space="preserve"> (available on JSTOR)</w:t>
      </w:r>
    </w:p>
    <w:p w:rsidR="008F5D2A" w:rsidRDefault="008F5D2A" w:rsidP="006403FB">
      <w:pPr>
        <w:spacing w:after="0" w:line="240" w:lineRule="auto"/>
      </w:pPr>
    </w:p>
    <w:p w:rsidR="008F5D2A" w:rsidRDefault="008F5D2A" w:rsidP="006403FB">
      <w:pPr>
        <w:spacing w:after="0" w:line="240" w:lineRule="auto"/>
      </w:pPr>
      <w:r>
        <w:t>Sept 14:</w:t>
      </w:r>
      <w:r w:rsidR="0031397B">
        <w:tab/>
        <w:t xml:space="preserve">Jewett, </w:t>
      </w:r>
      <w:r w:rsidR="0031397B" w:rsidRPr="00646148">
        <w:rPr>
          <w:i/>
        </w:rPr>
        <w:t xml:space="preserve">The Country of the Pointed </w:t>
      </w:r>
      <w:r w:rsidR="00784815" w:rsidRPr="00646148">
        <w:rPr>
          <w:i/>
        </w:rPr>
        <w:t>Firs</w:t>
      </w:r>
      <w:r w:rsidR="00784815">
        <w:t xml:space="preserve"> (</w:t>
      </w:r>
      <w:r w:rsidR="00646148">
        <w:t>pp. 81-162, and introduction pp. 9-29)</w:t>
      </w:r>
    </w:p>
    <w:p w:rsidR="008F5D2A" w:rsidRDefault="008F5D2A" w:rsidP="006403FB">
      <w:pPr>
        <w:spacing w:after="0" w:line="240" w:lineRule="auto"/>
      </w:pPr>
    </w:p>
    <w:p w:rsidR="008F5D2A" w:rsidRDefault="008F5D2A" w:rsidP="006403FB">
      <w:pPr>
        <w:spacing w:after="0" w:line="240" w:lineRule="auto"/>
      </w:pPr>
      <w:r>
        <w:t>Sept 16:</w:t>
      </w:r>
      <w:r w:rsidR="0031397B">
        <w:tab/>
        <w:t xml:space="preserve">Jewett, </w:t>
      </w:r>
      <w:r w:rsidR="0031397B" w:rsidRPr="00646148">
        <w:rPr>
          <w:i/>
        </w:rPr>
        <w:t>The Country of the Pointed Firs</w:t>
      </w:r>
    </w:p>
    <w:p w:rsidR="00646148" w:rsidRDefault="00646148" w:rsidP="006403FB">
      <w:pPr>
        <w:spacing w:after="0" w:line="240" w:lineRule="auto"/>
      </w:pPr>
      <w:r>
        <w:tab/>
      </w:r>
      <w:r>
        <w:tab/>
        <w:t>Jewett, “Dunnet Shepherdess</w:t>
      </w:r>
      <w:r w:rsidR="00784815">
        <w:t>” (</w:t>
      </w:r>
      <w:r>
        <w:t>pp. 163-179) and “William’s Wedding</w:t>
      </w:r>
      <w:r w:rsidR="00784815">
        <w:t>” (</w:t>
      </w:r>
      <w:r>
        <w:t>pp. 204-214)</w:t>
      </w:r>
    </w:p>
    <w:p w:rsidR="008F5D2A" w:rsidRDefault="008F5D2A" w:rsidP="006403FB">
      <w:pPr>
        <w:spacing w:after="0" w:line="240" w:lineRule="auto"/>
      </w:pPr>
    </w:p>
    <w:p w:rsidR="008F5D2A" w:rsidRDefault="008F5D2A" w:rsidP="00646148">
      <w:pPr>
        <w:spacing w:after="0" w:line="240" w:lineRule="auto"/>
        <w:ind w:left="1440" w:hanging="1440"/>
      </w:pPr>
      <w:r>
        <w:lastRenderedPageBreak/>
        <w:t>Sept 21:</w:t>
      </w:r>
      <w:r w:rsidR="0031397B">
        <w:tab/>
        <w:t>E. B. Browning</w:t>
      </w:r>
      <w:r w:rsidR="00784815">
        <w:t>, “</w:t>
      </w:r>
      <w:r w:rsidR="00646148">
        <w:t>Essay on Woman” fragment, “Virgin Mary to the Child Jesus</w:t>
      </w:r>
      <w:r w:rsidR="00784815">
        <w:t>” and</w:t>
      </w:r>
      <w:r w:rsidR="00646148">
        <w:t xml:space="preserve"> excerpt from </w:t>
      </w:r>
      <w:r w:rsidR="00646148" w:rsidRPr="00646148">
        <w:rPr>
          <w:i/>
        </w:rPr>
        <w:t>Drama in Exile</w:t>
      </w:r>
    </w:p>
    <w:p w:rsidR="008F5D2A" w:rsidRDefault="008F5D2A" w:rsidP="006403FB">
      <w:pPr>
        <w:spacing w:after="0" w:line="240" w:lineRule="auto"/>
      </w:pPr>
    </w:p>
    <w:p w:rsidR="008F5D2A" w:rsidRDefault="008F5D2A" w:rsidP="00646148">
      <w:pPr>
        <w:spacing w:after="0" w:line="240" w:lineRule="auto"/>
        <w:ind w:left="1440" w:hanging="1440"/>
      </w:pPr>
      <w:r>
        <w:t>Sept 23:</w:t>
      </w:r>
      <w:r w:rsidR="0031397B">
        <w:tab/>
        <w:t>Browning</w:t>
      </w:r>
      <w:r w:rsidR="00784815">
        <w:t>, “</w:t>
      </w:r>
      <w:r w:rsidR="00065A24">
        <w:t>Cry of the Children,”</w:t>
      </w:r>
      <w:r w:rsidR="00646148">
        <w:t xml:space="preserve"> “The Runaway Slave at Pilgrim’s Point” </w:t>
      </w:r>
      <w:r w:rsidR="00065A24">
        <w:t xml:space="preserve">and </w:t>
      </w:r>
      <w:r w:rsidR="00646148">
        <w:t xml:space="preserve">material in appendix relating to these two poems. </w:t>
      </w:r>
    </w:p>
    <w:p w:rsidR="00682339" w:rsidRPr="00682339" w:rsidRDefault="00682339" w:rsidP="00646148">
      <w:pPr>
        <w:spacing w:after="0" w:line="240" w:lineRule="auto"/>
        <w:ind w:left="1440" w:hanging="1440"/>
        <w:rPr>
          <w:b/>
        </w:rPr>
      </w:pPr>
      <w:r>
        <w:tab/>
      </w:r>
      <w:r w:rsidRPr="00682339">
        <w:rPr>
          <w:b/>
        </w:rPr>
        <w:t>Paper # 1 Due</w:t>
      </w:r>
    </w:p>
    <w:p w:rsidR="00646148" w:rsidRDefault="00646148" w:rsidP="00646148">
      <w:pPr>
        <w:spacing w:after="0" w:line="240" w:lineRule="auto"/>
      </w:pPr>
    </w:p>
    <w:p w:rsidR="00646148" w:rsidRDefault="008F5D2A" w:rsidP="00646148">
      <w:pPr>
        <w:spacing w:after="0" w:line="240" w:lineRule="auto"/>
      </w:pPr>
      <w:r>
        <w:t>Sept 28:</w:t>
      </w:r>
      <w:r w:rsidR="0031397B">
        <w:tab/>
        <w:t>Browning</w:t>
      </w:r>
      <w:r w:rsidR="00784815">
        <w:t>, “</w:t>
      </w:r>
      <w:r w:rsidR="00646148">
        <w:t xml:space="preserve">Bertha in the Lane,” “Romance of the Swan’s Nest,” </w:t>
      </w:r>
    </w:p>
    <w:p w:rsidR="00646148" w:rsidRPr="00065A24" w:rsidRDefault="00646148" w:rsidP="00646148">
      <w:pPr>
        <w:spacing w:after="0" w:line="240" w:lineRule="auto"/>
        <w:ind w:left="720" w:firstLine="720"/>
      </w:pPr>
      <w:r w:rsidRPr="00646148">
        <w:rPr>
          <w:i/>
        </w:rPr>
        <w:t>Sonnets from the Portuguese</w:t>
      </w:r>
      <w:r w:rsidR="00D322E8">
        <w:rPr>
          <w:i/>
        </w:rPr>
        <w:t xml:space="preserve"> </w:t>
      </w:r>
      <w:r w:rsidR="00D322E8" w:rsidRPr="00065A24">
        <w:t>(nos. 1-23)</w:t>
      </w:r>
    </w:p>
    <w:p w:rsidR="008F5D2A" w:rsidRDefault="008F5D2A" w:rsidP="006403FB">
      <w:pPr>
        <w:spacing w:after="0" w:line="240" w:lineRule="auto"/>
      </w:pPr>
    </w:p>
    <w:p w:rsidR="008F5D2A" w:rsidRPr="00065A24" w:rsidRDefault="008F5D2A" w:rsidP="006403FB">
      <w:pPr>
        <w:spacing w:after="0" w:line="240" w:lineRule="auto"/>
      </w:pPr>
      <w:r>
        <w:t>Sept 30:</w:t>
      </w:r>
      <w:r w:rsidR="0031397B">
        <w:tab/>
        <w:t>Browning</w:t>
      </w:r>
      <w:r w:rsidR="00646148">
        <w:t xml:space="preserve">, </w:t>
      </w:r>
      <w:r w:rsidR="00646148" w:rsidRPr="00646148">
        <w:rPr>
          <w:i/>
        </w:rPr>
        <w:t>Sonnets from the Portuguese</w:t>
      </w:r>
      <w:r w:rsidR="00D322E8">
        <w:rPr>
          <w:i/>
        </w:rPr>
        <w:t xml:space="preserve"> </w:t>
      </w:r>
      <w:r w:rsidR="00D322E8" w:rsidRPr="00065A24">
        <w:t>(nos. 23-44)</w:t>
      </w:r>
    </w:p>
    <w:p w:rsidR="008F5D2A" w:rsidRDefault="0031397B" w:rsidP="006403FB">
      <w:pPr>
        <w:spacing w:after="0" w:line="240" w:lineRule="auto"/>
      </w:pPr>
      <w:r>
        <w:tab/>
      </w:r>
    </w:p>
    <w:p w:rsidR="008049B1" w:rsidRDefault="00784815" w:rsidP="008049B1">
      <w:pPr>
        <w:spacing w:after="0" w:line="240" w:lineRule="auto"/>
        <w:ind w:left="1440" w:hanging="1440"/>
      </w:pPr>
      <w:r>
        <w:t>Oct. 5:</w:t>
      </w:r>
      <w:r>
        <w:tab/>
        <w:t>Wheatley,</w:t>
      </w:r>
      <w:r w:rsidR="008049B1" w:rsidRPr="008049B1">
        <w:t xml:space="preserve"> </w:t>
      </w:r>
      <w:r w:rsidR="008049B1">
        <w:t>“On Being Brought from Africa to America,” “Thoughts on the Works of Providence,” “Hymn to the Morning” “Hymn to the Evening” “Hymn to Humanity,” “On Imagination.”</w:t>
      </w:r>
      <w:r w:rsidR="008049B1" w:rsidRPr="008049B1">
        <w:t xml:space="preserve"> </w:t>
      </w:r>
    </w:p>
    <w:p w:rsidR="00443004" w:rsidRDefault="008049B1" w:rsidP="008049B1">
      <w:pPr>
        <w:spacing w:after="0" w:line="240" w:lineRule="auto"/>
        <w:ind w:left="1440"/>
      </w:pPr>
      <w:r>
        <w:t>Read also “Memoir,” pp. 61-77</w:t>
      </w:r>
      <w:r w:rsidR="00443004">
        <w:tab/>
      </w:r>
    </w:p>
    <w:p w:rsidR="00731DC3" w:rsidRDefault="00731DC3" w:rsidP="008049B1">
      <w:pPr>
        <w:spacing w:after="0" w:line="240" w:lineRule="auto"/>
        <w:ind w:left="1440"/>
      </w:pPr>
      <w:r>
        <w:t xml:space="preserve">Henry Louis Gates, “The Trials of </w:t>
      </w:r>
      <w:proofErr w:type="spellStart"/>
      <w:r>
        <w:t>Phillis</w:t>
      </w:r>
      <w:proofErr w:type="spellEnd"/>
      <w:r>
        <w:t xml:space="preserve"> Wheatley” (on Saki or use internet: www.neh.gov/whoweare/gates/lecture/html)</w:t>
      </w:r>
    </w:p>
    <w:p w:rsidR="008F5D2A" w:rsidRDefault="008F5D2A" w:rsidP="006403FB">
      <w:pPr>
        <w:spacing w:after="0" w:line="240" w:lineRule="auto"/>
      </w:pPr>
    </w:p>
    <w:p w:rsidR="008F5D2A" w:rsidRDefault="008F5D2A" w:rsidP="008049B1">
      <w:pPr>
        <w:spacing w:after="0" w:line="240" w:lineRule="auto"/>
        <w:ind w:left="1440" w:hanging="1440"/>
      </w:pPr>
      <w:r>
        <w:t>Oct 7:</w:t>
      </w:r>
      <w:r w:rsidR="00443004">
        <w:tab/>
      </w:r>
      <w:r w:rsidR="00784815">
        <w:t>Wheatley</w:t>
      </w:r>
      <w:r w:rsidR="008049B1">
        <w:t>, “On the Death of a Young Lady of Five Years,” “To a Lady on Her Husband’s Death,” “A Funeral Poem,”  “To a Lady and her Children”</w:t>
      </w:r>
    </w:p>
    <w:p w:rsidR="008049B1" w:rsidRDefault="008049B1" w:rsidP="008049B1">
      <w:pPr>
        <w:spacing w:after="0" w:line="240" w:lineRule="auto"/>
        <w:ind w:left="1440" w:hanging="1440"/>
      </w:pPr>
    </w:p>
    <w:p w:rsidR="008F5D2A" w:rsidRDefault="008F5D2A" w:rsidP="006403FB">
      <w:pPr>
        <w:spacing w:after="0" w:line="240" w:lineRule="auto"/>
      </w:pPr>
      <w:r>
        <w:t>Oct. 12:</w:t>
      </w:r>
      <w:r>
        <w:tab/>
      </w:r>
      <w:r>
        <w:tab/>
        <w:t>Break</w:t>
      </w:r>
    </w:p>
    <w:p w:rsidR="008F5D2A" w:rsidRDefault="008F5D2A" w:rsidP="006403FB">
      <w:pPr>
        <w:spacing w:after="0" w:line="240" w:lineRule="auto"/>
      </w:pPr>
    </w:p>
    <w:p w:rsidR="008F5D2A" w:rsidRDefault="008F5D2A" w:rsidP="006403FB">
      <w:pPr>
        <w:spacing w:after="0" w:line="240" w:lineRule="auto"/>
      </w:pPr>
      <w:r>
        <w:t>Oct. 14:</w:t>
      </w:r>
      <w:r w:rsidR="0031397B">
        <w:tab/>
      </w:r>
      <w:r w:rsidR="0031397B">
        <w:tab/>
        <w:t xml:space="preserve">Rossetti, </w:t>
      </w:r>
      <w:r w:rsidR="00065A24">
        <w:t>“Goblin Market” and “Prince’s Progress”</w:t>
      </w:r>
    </w:p>
    <w:p w:rsidR="00065A24" w:rsidRDefault="00065A24" w:rsidP="006403FB">
      <w:pPr>
        <w:spacing w:after="0" w:line="240" w:lineRule="auto"/>
      </w:pPr>
      <w:r>
        <w:tab/>
      </w:r>
      <w:r>
        <w:tab/>
        <w:t>Read also the first three chapters of Genesis (Bible) and</w:t>
      </w:r>
      <w:r w:rsidR="00B86E5F">
        <w:t xml:space="preserve"> </w:t>
      </w:r>
      <w:r>
        <w:t xml:space="preserve"> </w:t>
      </w:r>
    </w:p>
    <w:p w:rsidR="00065A24" w:rsidRDefault="006866AE" w:rsidP="006403FB">
      <w:pPr>
        <w:spacing w:after="0" w:line="240" w:lineRule="auto"/>
      </w:pPr>
      <w:r>
        <w:tab/>
      </w:r>
      <w:r>
        <w:tab/>
        <w:t>“Briar Rose [Sleeping Beauty]</w:t>
      </w:r>
      <w:r w:rsidR="00065A24">
        <w:t>” (</w:t>
      </w:r>
      <w:r>
        <w:t xml:space="preserve">See the version in Grimm </w:t>
      </w:r>
      <w:r w:rsidR="00065A24">
        <w:t>fairy tale</w:t>
      </w:r>
      <w:r>
        <w:t>s</w:t>
      </w:r>
      <w:r w:rsidR="00065A24">
        <w:t>)</w:t>
      </w:r>
    </w:p>
    <w:p w:rsidR="008F5D2A" w:rsidRDefault="008F5D2A" w:rsidP="006403FB">
      <w:pPr>
        <w:spacing w:after="0" w:line="240" w:lineRule="auto"/>
      </w:pPr>
    </w:p>
    <w:p w:rsidR="008F5D2A" w:rsidRDefault="008F5D2A" w:rsidP="006403FB">
      <w:pPr>
        <w:spacing w:after="0" w:line="240" w:lineRule="auto"/>
      </w:pPr>
      <w:r>
        <w:t>Oct. 19:</w:t>
      </w:r>
      <w:r w:rsidR="0031397B">
        <w:tab/>
      </w:r>
      <w:r w:rsidR="0031397B">
        <w:tab/>
        <w:t>Rossetti</w:t>
      </w:r>
      <w:r w:rsidR="00784815">
        <w:t>, “</w:t>
      </w:r>
      <w:r w:rsidR="00065A24">
        <w:t>An Apple-Gathering,” “Eve,” and “A Helpmeet for Him”</w:t>
      </w:r>
    </w:p>
    <w:p w:rsidR="00065A24" w:rsidRDefault="00065A24" w:rsidP="006403FB">
      <w:pPr>
        <w:spacing w:after="0" w:line="240" w:lineRule="auto"/>
      </w:pPr>
      <w:r>
        <w:tab/>
      </w:r>
      <w:r>
        <w:tab/>
        <w:t xml:space="preserve">Read also in Humphries edition excerpt from </w:t>
      </w:r>
      <w:r w:rsidRPr="00065A24">
        <w:rPr>
          <w:i/>
        </w:rPr>
        <w:t>Letter and Spirit</w:t>
      </w:r>
      <w:r>
        <w:t xml:space="preserve"> (pp. 329-333)</w:t>
      </w:r>
    </w:p>
    <w:p w:rsidR="00065A24" w:rsidRDefault="00065A24" w:rsidP="006403FB">
      <w:pPr>
        <w:spacing w:after="0" w:line="240" w:lineRule="auto"/>
      </w:pPr>
      <w:r>
        <w:tab/>
      </w:r>
      <w:r>
        <w:tab/>
        <w:t xml:space="preserve">Read also in Humphries edition excerpt from </w:t>
      </w:r>
      <w:r w:rsidRPr="00065A24">
        <w:rPr>
          <w:i/>
        </w:rPr>
        <w:t>Seek and Find</w:t>
      </w:r>
      <w:r>
        <w:t xml:space="preserve"> (pp. 318-320)</w:t>
      </w:r>
    </w:p>
    <w:p w:rsidR="00682339" w:rsidRPr="00682339" w:rsidRDefault="00682339" w:rsidP="006403FB">
      <w:pPr>
        <w:spacing w:after="0" w:line="240" w:lineRule="auto"/>
        <w:rPr>
          <w:b/>
        </w:rPr>
      </w:pPr>
      <w:r>
        <w:tab/>
      </w:r>
      <w:r>
        <w:tab/>
      </w:r>
      <w:r w:rsidRPr="00682339">
        <w:rPr>
          <w:b/>
        </w:rPr>
        <w:t>Mid-Term Essays Due</w:t>
      </w:r>
      <w:r w:rsidR="008049B1">
        <w:rPr>
          <w:b/>
        </w:rPr>
        <w:t xml:space="preserve"> (Form will be take</w:t>
      </w:r>
      <w:r>
        <w:rPr>
          <w:b/>
        </w:rPr>
        <w:t>-home essay.)</w:t>
      </w:r>
    </w:p>
    <w:p w:rsidR="008F5D2A" w:rsidRDefault="008F5D2A" w:rsidP="006403FB">
      <w:pPr>
        <w:spacing w:after="0" w:line="240" w:lineRule="auto"/>
      </w:pPr>
    </w:p>
    <w:p w:rsidR="008F5D2A" w:rsidRDefault="008F5D2A" w:rsidP="006403FB">
      <w:pPr>
        <w:spacing w:after="0" w:line="240" w:lineRule="auto"/>
      </w:pPr>
      <w:r>
        <w:t>Oct. 21:</w:t>
      </w:r>
      <w:r w:rsidR="0031397B">
        <w:tab/>
      </w:r>
      <w:r w:rsidR="0031397B">
        <w:tab/>
        <w:t>Rossetti</w:t>
      </w:r>
      <w:r w:rsidR="00784815">
        <w:t>, “</w:t>
      </w:r>
      <w:r w:rsidR="00065A24">
        <w:t xml:space="preserve">In an Artist’s Studio” and </w:t>
      </w:r>
      <w:r w:rsidR="00065A24" w:rsidRPr="00065A24">
        <w:rPr>
          <w:i/>
        </w:rPr>
        <w:t>Monna Innominata</w:t>
      </w:r>
      <w:r w:rsidR="00065A24">
        <w:t xml:space="preserve"> (sonnet sequence)</w:t>
      </w:r>
    </w:p>
    <w:p w:rsidR="008F5D2A" w:rsidRDefault="008F5D2A" w:rsidP="006403FB">
      <w:pPr>
        <w:spacing w:after="0" w:line="240" w:lineRule="auto"/>
      </w:pPr>
    </w:p>
    <w:p w:rsidR="008F5D2A" w:rsidRDefault="008F5D2A" w:rsidP="006403FB">
      <w:pPr>
        <w:spacing w:after="0" w:line="240" w:lineRule="auto"/>
      </w:pPr>
      <w:r>
        <w:t>Oct. 26:</w:t>
      </w:r>
      <w:r w:rsidR="0031397B">
        <w:tab/>
      </w:r>
      <w:r w:rsidR="0031397B">
        <w:tab/>
        <w:t>Rossetti</w:t>
      </w:r>
      <w:r w:rsidR="00065A24">
        <w:t xml:space="preserve">,   Dedicatory Sonnet (p. 214), “Valentine 1882”  </w:t>
      </w:r>
    </w:p>
    <w:p w:rsidR="00065A24" w:rsidRDefault="00065A24" w:rsidP="006403FB">
      <w:pPr>
        <w:spacing w:after="0" w:line="240" w:lineRule="auto"/>
      </w:pPr>
      <w:r>
        <w:tab/>
      </w:r>
      <w:r>
        <w:tab/>
        <w:t xml:space="preserve">Read also in Humphries edition excerpt from </w:t>
      </w:r>
      <w:r w:rsidRPr="00065A24">
        <w:rPr>
          <w:i/>
        </w:rPr>
        <w:t>Face of the Deep</w:t>
      </w:r>
      <w:r>
        <w:t>, pp. 364-372</w:t>
      </w:r>
    </w:p>
    <w:p w:rsidR="00B86E5F" w:rsidRDefault="00B86E5F" w:rsidP="006403FB">
      <w:pPr>
        <w:spacing w:after="0" w:line="240" w:lineRule="auto"/>
      </w:pPr>
      <w:r>
        <w:tab/>
      </w:r>
      <w:r>
        <w:tab/>
        <w:t xml:space="preserve">Rossetti, “From the Antique” and “One Sea-side Grave” and in </w:t>
      </w:r>
      <w:r w:rsidRPr="00B86E5F">
        <w:rPr>
          <w:i/>
        </w:rPr>
        <w:t>Later Life</w:t>
      </w:r>
      <w:r>
        <w:t xml:space="preserve"> sonnet #9 </w:t>
      </w:r>
    </w:p>
    <w:p w:rsidR="008F5D2A" w:rsidRDefault="008F5D2A" w:rsidP="006403FB">
      <w:pPr>
        <w:spacing w:after="0" w:line="240" w:lineRule="auto"/>
      </w:pPr>
    </w:p>
    <w:p w:rsidR="00EA7A69" w:rsidRDefault="008F5D2A" w:rsidP="00EA7A69">
      <w:pPr>
        <w:spacing w:after="0" w:line="240" w:lineRule="auto"/>
        <w:ind w:left="1440" w:hanging="1440"/>
      </w:pPr>
      <w:r>
        <w:t>Oct. 28:</w:t>
      </w:r>
      <w:r w:rsidR="00EA7A69">
        <w:tab/>
      </w:r>
      <w:r w:rsidR="00091B24">
        <w:t>Dickinson</w:t>
      </w:r>
      <w:r w:rsidR="00B86E5F">
        <w:t xml:space="preserve">, </w:t>
      </w:r>
      <w:r w:rsidR="00EA7A69">
        <w:t xml:space="preserve"> “Tie the strings to my life, my Lord (titled</w:t>
      </w:r>
      <w:r w:rsidR="00B86E5F">
        <w:t xml:space="preserve"> </w:t>
      </w:r>
      <w:r w:rsidR="00EA7A69">
        <w:t>“Farewell”), “I felt a funeral in my brain,” “Bec</w:t>
      </w:r>
      <w:r w:rsidR="00DA455A">
        <w:t>ause I could not stop for death” (titled “The Chariot”)</w:t>
      </w:r>
      <w:r w:rsidR="00EA7A69">
        <w:t xml:space="preserve">  “I heard a fly buzz when I died” (titled “Dying”</w:t>
      </w:r>
      <w:r w:rsidR="00DA455A">
        <w:t>)</w:t>
      </w:r>
      <w:r w:rsidR="00EA7A69">
        <w:t xml:space="preserve"> </w:t>
      </w:r>
    </w:p>
    <w:p w:rsidR="00B86E5F" w:rsidRDefault="00B86E5F" w:rsidP="006403FB">
      <w:pPr>
        <w:spacing w:after="0" w:line="240" w:lineRule="auto"/>
      </w:pPr>
    </w:p>
    <w:p w:rsidR="008F5D2A" w:rsidRDefault="00B86E5F" w:rsidP="00B86E5F">
      <w:pPr>
        <w:spacing w:after="0" w:line="240" w:lineRule="auto"/>
        <w:ind w:left="2160"/>
      </w:pPr>
      <w:r w:rsidRPr="001A0973">
        <w:rPr>
          <w:b/>
        </w:rPr>
        <w:t>Note</w:t>
      </w:r>
      <w:r>
        <w:t xml:space="preserve">: </w:t>
      </w:r>
      <w:r w:rsidRPr="00B86E5F">
        <w:rPr>
          <w:i/>
        </w:rPr>
        <w:t>The Mill on the Floss</w:t>
      </w:r>
      <w:r>
        <w:t xml:space="preserve"> is the longest novel you have to read. If you consider yourself a slow reader or just want to get started early, begin reading the novel now.</w:t>
      </w:r>
    </w:p>
    <w:p w:rsidR="00B86E5F" w:rsidRDefault="00B86E5F" w:rsidP="00B86E5F">
      <w:pPr>
        <w:spacing w:after="0" w:line="240" w:lineRule="auto"/>
        <w:ind w:left="2160"/>
      </w:pPr>
    </w:p>
    <w:p w:rsidR="008F5D2A" w:rsidRDefault="008F5D2A" w:rsidP="00CD5463">
      <w:pPr>
        <w:spacing w:after="0" w:line="240" w:lineRule="auto"/>
        <w:ind w:left="1440" w:hanging="1440"/>
      </w:pPr>
      <w:r>
        <w:lastRenderedPageBreak/>
        <w:t>Nov. 2:</w:t>
      </w:r>
      <w:r w:rsidR="00CD5463">
        <w:tab/>
      </w:r>
      <w:r w:rsidR="00BD0912">
        <w:t>Dickinson</w:t>
      </w:r>
      <w:r w:rsidR="001A0973">
        <w:t xml:space="preserve">,  </w:t>
      </w:r>
      <w:r w:rsidR="00EA7A69">
        <w:t xml:space="preserve">“I dreaded that first </w:t>
      </w:r>
      <w:r w:rsidR="00784815">
        <w:t>robin</w:t>
      </w:r>
      <w:r w:rsidR="00EA7A69">
        <w:t xml:space="preserve"> so” (titled “In Shadow),  </w:t>
      </w:r>
      <w:r w:rsidR="001A0973">
        <w:t>“Victory comes late,” “God gave a loaf to every bird” (titled “</w:t>
      </w:r>
      <w:r w:rsidR="00784815">
        <w:t>Enough</w:t>
      </w:r>
      <w:r w:rsidR="001A0973">
        <w:t xml:space="preserve">”), </w:t>
      </w:r>
      <w:r w:rsidR="00CD5463">
        <w:t xml:space="preserve"> My life closed twice </w:t>
      </w:r>
      <w:r w:rsidR="00DA455A">
        <w:t>before it close</w:t>
      </w:r>
      <w:r w:rsidR="00CD5463">
        <w:t xml:space="preserve"> (titled “Parting”</w:t>
      </w:r>
      <w:r w:rsidR="001A0973">
        <w:t>)</w:t>
      </w:r>
      <w:r w:rsidR="00DA455A">
        <w:t xml:space="preserve"> </w:t>
      </w:r>
    </w:p>
    <w:p w:rsidR="008F5D2A" w:rsidRDefault="008F5D2A" w:rsidP="006403FB">
      <w:pPr>
        <w:spacing w:after="0" w:line="240" w:lineRule="auto"/>
      </w:pPr>
    </w:p>
    <w:p w:rsidR="008F5D2A" w:rsidRDefault="008F5D2A" w:rsidP="006403FB">
      <w:pPr>
        <w:spacing w:after="0" w:line="240" w:lineRule="auto"/>
      </w:pPr>
      <w:r>
        <w:t>Nov. 4:</w:t>
      </w:r>
      <w:r w:rsidR="00091B24">
        <w:tab/>
      </w:r>
      <w:r w:rsidR="00091B24">
        <w:tab/>
        <w:t xml:space="preserve">Eliot: </w:t>
      </w:r>
      <w:r w:rsidR="00091B24" w:rsidRPr="003D1EE5">
        <w:rPr>
          <w:i/>
        </w:rPr>
        <w:t>The Mill on the Floss</w:t>
      </w:r>
      <w:r w:rsidR="00775E1D">
        <w:t>, pp. 9-</w:t>
      </w:r>
      <w:r w:rsidR="003B1148">
        <w:t>105</w:t>
      </w:r>
    </w:p>
    <w:p w:rsidR="008F5D2A" w:rsidRDefault="008F5D2A" w:rsidP="006403FB">
      <w:pPr>
        <w:spacing w:after="0" w:line="240" w:lineRule="auto"/>
      </w:pPr>
    </w:p>
    <w:p w:rsidR="008F5D2A" w:rsidRDefault="008F5D2A" w:rsidP="006403FB">
      <w:pPr>
        <w:spacing w:after="0" w:line="240" w:lineRule="auto"/>
      </w:pPr>
      <w:r>
        <w:t>Nov. 9:</w:t>
      </w:r>
      <w:r w:rsidR="00091B24">
        <w:tab/>
      </w:r>
      <w:r w:rsidR="00091B24">
        <w:tab/>
        <w:t xml:space="preserve">Eliot, </w:t>
      </w:r>
      <w:r w:rsidR="00091B24" w:rsidRPr="003D1EE5">
        <w:rPr>
          <w:i/>
        </w:rPr>
        <w:t>The Mill on the Floss</w:t>
      </w:r>
      <w:r w:rsidR="00784815">
        <w:t>, pp.105</w:t>
      </w:r>
      <w:r w:rsidR="003B1148">
        <w:t>-307</w:t>
      </w:r>
    </w:p>
    <w:p w:rsidR="008F5D2A" w:rsidRDefault="008F5D2A" w:rsidP="006403FB">
      <w:pPr>
        <w:spacing w:after="0" w:line="240" w:lineRule="auto"/>
      </w:pPr>
    </w:p>
    <w:p w:rsidR="008F5D2A" w:rsidRDefault="008F5D2A" w:rsidP="006403FB">
      <w:pPr>
        <w:spacing w:after="0" w:line="240" w:lineRule="auto"/>
      </w:pPr>
      <w:r>
        <w:t>Nov. 11:</w:t>
      </w:r>
      <w:r w:rsidR="00091B24">
        <w:tab/>
        <w:t xml:space="preserve">Eliot, </w:t>
      </w:r>
      <w:r w:rsidR="00091B24" w:rsidRPr="003D1EE5">
        <w:rPr>
          <w:i/>
        </w:rPr>
        <w:t>The Mill on the Floss</w:t>
      </w:r>
      <w:r w:rsidR="00775E1D">
        <w:t xml:space="preserve">, </w:t>
      </w:r>
      <w:r w:rsidR="003B1148">
        <w:t>307-415</w:t>
      </w:r>
    </w:p>
    <w:p w:rsidR="00682339" w:rsidRPr="00682339" w:rsidRDefault="00682339" w:rsidP="006403FB">
      <w:pPr>
        <w:spacing w:after="0" w:line="240" w:lineRule="auto"/>
        <w:rPr>
          <w:b/>
        </w:rPr>
      </w:pPr>
      <w:r>
        <w:tab/>
      </w:r>
      <w:r>
        <w:tab/>
      </w:r>
      <w:r w:rsidRPr="00682339">
        <w:rPr>
          <w:b/>
        </w:rPr>
        <w:t>Paper # 2 Due</w:t>
      </w:r>
    </w:p>
    <w:p w:rsidR="008F5D2A" w:rsidRDefault="008F5D2A" w:rsidP="006403FB">
      <w:pPr>
        <w:spacing w:after="0" w:line="240" w:lineRule="auto"/>
      </w:pPr>
    </w:p>
    <w:p w:rsidR="008F5D2A" w:rsidRDefault="008F5D2A" w:rsidP="006403FB">
      <w:pPr>
        <w:spacing w:after="0" w:line="240" w:lineRule="auto"/>
      </w:pPr>
      <w:r>
        <w:t>Nov. 16:</w:t>
      </w:r>
      <w:r w:rsidR="00091B24">
        <w:tab/>
        <w:t xml:space="preserve">Eliot, </w:t>
      </w:r>
      <w:r w:rsidR="00091B24" w:rsidRPr="003D1EE5">
        <w:rPr>
          <w:i/>
        </w:rPr>
        <w:t>The Mill on the Floss</w:t>
      </w:r>
      <w:r w:rsidR="00784815">
        <w:t>, 416</w:t>
      </w:r>
      <w:r w:rsidR="00775E1D">
        <w:t>-544</w:t>
      </w:r>
    </w:p>
    <w:p w:rsidR="00D322E8" w:rsidRDefault="00D322E8" w:rsidP="006403FB">
      <w:pPr>
        <w:spacing w:after="0" w:line="240" w:lineRule="auto"/>
      </w:pPr>
      <w:r>
        <w:tab/>
      </w:r>
      <w:r>
        <w:tab/>
        <w:t>Eliot, “</w:t>
      </w:r>
      <w:r w:rsidR="00156DE5">
        <w:t xml:space="preserve">Silly </w:t>
      </w:r>
      <w:r w:rsidR="00F86B7A">
        <w:t>Novels by</w:t>
      </w:r>
      <w:r w:rsidR="009241B0">
        <w:t xml:space="preserve"> Lady</w:t>
      </w:r>
      <w:r>
        <w:t xml:space="preserve"> Novelists”</w:t>
      </w:r>
      <w:r w:rsidR="004938E9">
        <w:t xml:space="preserve"> (available on Saki</w:t>
      </w:r>
      <w:r>
        <w:t>)</w:t>
      </w:r>
    </w:p>
    <w:p w:rsidR="008F5D2A" w:rsidRDefault="008F5D2A" w:rsidP="006403FB">
      <w:pPr>
        <w:spacing w:after="0" w:line="240" w:lineRule="auto"/>
      </w:pPr>
    </w:p>
    <w:p w:rsidR="008F5D2A" w:rsidRDefault="00091B24" w:rsidP="006403FB">
      <w:pPr>
        <w:spacing w:after="0" w:line="240" w:lineRule="auto"/>
      </w:pPr>
      <w:r>
        <w:t>Nov. 18:</w:t>
      </w:r>
      <w:r>
        <w:tab/>
        <w:t xml:space="preserve">Wharton, </w:t>
      </w:r>
      <w:r w:rsidRPr="00A16E2F">
        <w:rPr>
          <w:i/>
        </w:rPr>
        <w:t>Summer</w:t>
      </w:r>
      <w:r w:rsidR="00A16E2F" w:rsidRPr="00A16E2F">
        <w:rPr>
          <w:i/>
        </w:rPr>
        <w:t>,</w:t>
      </w:r>
      <w:r w:rsidR="00A16E2F">
        <w:t xml:space="preserve"> pp. 3-79</w:t>
      </w:r>
    </w:p>
    <w:p w:rsidR="008F5D2A" w:rsidRDefault="008F5D2A" w:rsidP="006403FB">
      <w:pPr>
        <w:spacing w:after="0" w:line="240" w:lineRule="auto"/>
      </w:pPr>
    </w:p>
    <w:p w:rsidR="008F5D2A" w:rsidRDefault="00091B24" w:rsidP="006403FB">
      <w:pPr>
        <w:spacing w:after="0" w:line="240" w:lineRule="auto"/>
      </w:pPr>
      <w:r>
        <w:t>Nov. 23:</w:t>
      </w:r>
      <w:r>
        <w:tab/>
        <w:t xml:space="preserve">Wharton, </w:t>
      </w:r>
      <w:r w:rsidRPr="00A16E2F">
        <w:rPr>
          <w:i/>
        </w:rPr>
        <w:t>Summer</w:t>
      </w:r>
      <w:r w:rsidR="00784815">
        <w:t>, pp</w:t>
      </w:r>
      <w:r w:rsidR="00A16E2F">
        <w:t>. 80-190</w:t>
      </w:r>
    </w:p>
    <w:p w:rsidR="008F5D2A" w:rsidRDefault="008F5D2A" w:rsidP="006403FB">
      <w:pPr>
        <w:spacing w:after="0" w:line="240" w:lineRule="auto"/>
      </w:pPr>
    </w:p>
    <w:p w:rsidR="008F5D2A" w:rsidRDefault="0031397B" w:rsidP="006403FB">
      <w:pPr>
        <w:spacing w:after="0" w:line="240" w:lineRule="auto"/>
      </w:pPr>
      <w:r>
        <w:t>Nov 25-28:</w:t>
      </w:r>
      <w:r w:rsidR="008F5D2A">
        <w:t xml:space="preserve">  </w:t>
      </w:r>
      <w:r>
        <w:tab/>
      </w:r>
      <w:r w:rsidR="008F5D2A">
        <w:t xml:space="preserve"> Thanksgiving Break</w:t>
      </w:r>
    </w:p>
    <w:p w:rsidR="008F5D2A" w:rsidRDefault="008F5D2A" w:rsidP="006403FB">
      <w:pPr>
        <w:spacing w:after="0" w:line="240" w:lineRule="auto"/>
      </w:pPr>
    </w:p>
    <w:p w:rsidR="008F5D2A" w:rsidRDefault="008F5D2A" w:rsidP="006403FB">
      <w:pPr>
        <w:spacing w:after="0" w:line="240" w:lineRule="auto"/>
      </w:pPr>
      <w:r>
        <w:t>Nov. 30:</w:t>
      </w:r>
      <w:r w:rsidR="0031397B">
        <w:tab/>
        <w:t>Ghost stories</w:t>
      </w:r>
      <w:r w:rsidR="00875645">
        <w:t xml:space="preserve"> (course packet) </w:t>
      </w:r>
    </w:p>
    <w:p w:rsidR="00875645" w:rsidRDefault="00875645" w:rsidP="006403FB">
      <w:pPr>
        <w:spacing w:after="0" w:line="240" w:lineRule="auto"/>
      </w:pPr>
      <w:r>
        <w:tab/>
      </w:r>
      <w:r>
        <w:tab/>
        <w:t>Gaskell, “Old Nurse’s Story”</w:t>
      </w:r>
    </w:p>
    <w:p w:rsidR="00875645" w:rsidRDefault="00875645" w:rsidP="006403FB">
      <w:pPr>
        <w:spacing w:after="0" w:line="240" w:lineRule="auto"/>
      </w:pPr>
      <w:r>
        <w:tab/>
      </w:r>
      <w:r>
        <w:tab/>
        <w:t>Riddell, “The Open Door”</w:t>
      </w:r>
    </w:p>
    <w:p w:rsidR="00875645" w:rsidRDefault="00875645" w:rsidP="006403FB">
      <w:pPr>
        <w:spacing w:after="0" w:line="240" w:lineRule="auto"/>
      </w:pPr>
      <w:r>
        <w:tab/>
      </w:r>
      <w:r>
        <w:tab/>
        <w:t>Braddon, “At Crighton Abbey”</w:t>
      </w:r>
    </w:p>
    <w:p w:rsidR="008F5D2A" w:rsidRDefault="008F5D2A" w:rsidP="006403FB">
      <w:pPr>
        <w:spacing w:after="0" w:line="240" w:lineRule="auto"/>
      </w:pPr>
    </w:p>
    <w:p w:rsidR="008F5D2A" w:rsidRDefault="008F5D2A" w:rsidP="006403FB">
      <w:pPr>
        <w:spacing w:after="0" w:line="240" w:lineRule="auto"/>
      </w:pPr>
      <w:r>
        <w:t>Dec. 2:</w:t>
      </w:r>
      <w:r w:rsidR="0031397B">
        <w:tab/>
      </w:r>
      <w:r w:rsidR="0031397B">
        <w:tab/>
        <w:t>Ghost stories</w:t>
      </w:r>
    </w:p>
    <w:p w:rsidR="00875645" w:rsidRDefault="00875645" w:rsidP="006403FB">
      <w:pPr>
        <w:spacing w:after="0" w:line="240" w:lineRule="auto"/>
      </w:pPr>
      <w:r>
        <w:tab/>
      </w:r>
      <w:r>
        <w:tab/>
        <w:t>Atherton, “The Bell in the Fog”</w:t>
      </w:r>
    </w:p>
    <w:p w:rsidR="00875645" w:rsidRDefault="00875645" w:rsidP="006403FB">
      <w:pPr>
        <w:spacing w:after="0" w:line="240" w:lineRule="auto"/>
      </w:pPr>
      <w:r>
        <w:tab/>
      </w:r>
      <w:r>
        <w:tab/>
        <w:t>Freeman,” Luella Miller”</w:t>
      </w:r>
    </w:p>
    <w:p w:rsidR="008F5D2A" w:rsidRDefault="008F5D2A" w:rsidP="006403FB">
      <w:pPr>
        <w:spacing w:after="0" w:line="240" w:lineRule="auto"/>
      </w:pPr>
    </w:p>
    <w:p w:rsidR="008F5D2A" w:rsidRDefault="008F5D2A" w:rsidP="006403FB">
      <w:pPr>
        <w:spacing w:after="0" w:line="240" w:lineRule="auto"/>
      </w:pPr>
      <w:r>
        <w:t>Dec. 7:</w:t>
      </w:r>
      <w:r w:rsidR="0031397B">
        <w:tab/>
      </w:r>
      <w:r w:rsidR="0031397B">
        <w:tab/>
        <w:t>Ghost stories</w:t>
      </w:r>
    </w:p>
    <w:p w:rsidR="000D4FE8" w:rsidRDefault="000D4FE8" w:rsidP="006403FB">
      <w:pPr>
        <w:spacing w:after="0" w:line="240" w:lineRule="auto"/>
      </w:pPr>
      <w:r>
        <w:tab/>
      </w:r>
      <w:r>
        <w:tab/>
        <w:t>Wharton, “Pomegranate Seed”</w:t>
      </w:r>
    </w:p>
    <w:p w:rsidR="000D4FE8" w:rsidRDefault="000D4FE8" w:rsidP="006403FB">
      <w:pPr>
        <w:spacing w:after="0" w:line="240" w:lineRule="auto"/>
      </w:pPr>
      <w:r>
        <w:tab/>
      </w:r>
      <w:r>
        <w:tab/>
        <w:t>Petry, “The Bone of Miss Louella Brown”</w:t>
      </w:r>
    </w:p>
    <w:p w:rsidR="008F5D2A" w:rsidRDefault="008F5D2A" w:rsidP="006403FB">
      <w:pPr>
        <w:spacing w:after="0" w:line="240" w:lineRule="auto"/>
      </w:pPr>
    </w:p>
    <w:p w:rsidR="0055143C" w:rsidRDefault="008F5D2A" w:rsidP="006403FB">
      <w:pPr>
        <w:spacing w:after="0" w:line="240" w:lineRule="auto"/>
      </w:pPr>
      <w:r>
        <w:t xml:space="preserve">Dec. 11: </w:t>
      </w:r>
      <w:r>
        <w:tab/>
      </w:r>
      <w:r w:rsidRPr="00F86B7A">
        <w:rPr>
          <w:b/>
        </w:rPr>
        <w:t>Final Exam:  Saturday at 7:00 p.m</w:t>
      </w:r>
      <w:r>
        <w:t xml:space="preserve">. </w:t>
      </w:r>
      <w:r w:rsidR="00682339">
        <w:t>(The final exam will involve take-home essays given out the last week of class. They will be due on this day and time. Also at this time, you will be taking the closed-book portion of the final exam.)</w:t>
      </w:r>
    </w:p>
    <w:p w:rsidR="0055143C" w:rsidRDefault="0055143C" w:rsidP="006403FB">
      <w:pPr>
        <w:spacing w:after="0" w:line="240" w:lineRule="auto"/>
      </w:pPr>
    </w:p>
    <w:p w:rsidR="00F86B7A" w:rsidRDefault="006403FB" w:rsidP="002B40D4">
      <w:r>
        <w:rPr>
          <w:b/>
          <w:u w:val="single"/>
        </w:rPr>
        <w:t>Attendance is required</w:t>
      </w:r>
      <w:r w:rsidRPr="00AC796E">
        <w:rPr>
          <w:b/>
        </w:rPr>
        <w:t xml:space="preserve">.  </w:t>
      </w:r>
      <w:r>
        <w:rPr>
          <w:b/>
        </w:rPr>
        <w:t xml:space="preserve">You have only </w:t>
      </w:r>
      <w:r w:rsidRPr="002B40D4">
        <w:rPr>
          <w:b/>
          <w:u w:val="single"/>
        </w:rPr>
        <w:t xml:space="preserve">three </w:t>
      </w:r>
      <w:r>
        <w:rPr>
          <w:b/>
        </w:rPr>
        <w:t xml:space="preserve">unexcused absences before your grade will be lowered. </w:t>
      </w:r>
      <w:r w:rsidRPr="00AC796E">
        <w:rPr>
          <w:b/>
        </w:rPr>
        <w:t>Four unexcused absences</w:t>
      </w:r>
      <w:r>
        <w:t xml:space="preserve"> will lower your semester grade a partial grade; in other words a B- becomes a C+.  </w:t>
      </w:r>
      <w:r w:rsidRPr="00AC796E">
        <w:t>If you miss five classes</w:t>
      </w:r>
      <w:r>
        <w:t xml:space="preserve">, your grade will be lowered two grade levels; in other words a B- becomes a C, and so forth. Here are examples of </w:t>
      </w:r>
      <w:r>
        <w:rPr>
          <w:u w:val="single"/>
        </w:rPr>
        <w:t xml:space="preserve">excused </w:t>
      </w:r>
      <w:r>
        <w:t xml:space="preserve">absences: an illness, one you can later verify with a note from the health center or doctor; a family emergency, one you can have verified by the Dean of Students Office. Here are examples of </w:t>
      </w:r>
      <w:r>
        <w:rPr>
          <w:u w:val="single"/>
        </w:rPr>
        <w:t xml:space="preserve">unexcused </w:t>
      </w:r>
      <w:r>
        <w:t xml:space="preserve">absences: oversleeping, cutting class to help a friend get to the airport, cutting class to work on your senior project or to study for an exam, cutting class for sports practice, cutting class for service learning project.  Please notice that you have three unexcused absences before the grade penalty is applied. If you know that you are going to decide to cut class for </w:t>
      </w:r>
      <w:r>
        <w:lastRenderedPageBreak/>
        <w:t xml:space="preserve">sports or for a project in another class, then prepare. In other words, save those "free" unexcused absences for these cases.    </w:t>
      </w:r>
    </w:p>
    <w:p w:rsidR="004938E9" w:rsidRDefault="00F86B7A" w:rsidP="004938E9">
      <w:r w:rsidRPr="00F86B7A">
        <w:rPr>
          <w:b/>
        </w:rPr>
        <w:t>Class participation:</w:t>
      </w:r>
      <w:r>
        <w:t xml:space="preserve"> Average to Excellent class participation </w:t>
      </w:r>
      <w:r>
        <w:rPr>
          <w:b/>
          <w:bCs/>
        </w:rPr>
        <w:t xml:space="preserve">means more than </w:t>
      </w:r>
      <w:r>
        <w:t xml:space="preserve">simply coming to class, behaving properly (not sleeping and not talking to your neighbor) and looking interested.  To receive an average, above average or excellent grade in participation, you must actually speak and contribute in a meaningful way to the class discussion.  I should also add that I do take into account the quality of your remarks. You should also feel free to ask questions in class. Sometimes a good question also helps facilitate discussion.  </w:t>
      </w:r>
    </w:p>
    <w:p w:rsidR="00F86B7A" w:rsidRDefault="00F86B7A" w:rsidP="004938E9">
      <w:pPr>
        <w:ind w:firstLine="720"/>
      </w:pPr>
      <w:r>
        <w:t>Here are some guidelines to help you understand how I evaluate class participation. These are general guidelines in terms of whole letter grades. If you come to class, look interested and stay awake and act respectfully towards remarks made by others, that is a D. If you come to class, look interested and have your prepared comments (I will sometimes assign questions for you to prepare or ask you to do some research on the Internet) ready when I call on you or invite you to raise your hand on your own, that is a C.  If you come to class, look interested, have prepared comments ready and are willing to offer those comments in class</w:t>
      </w:r>
      <w:r>
        <w:rPr>
          <w:b/>
          <w:bCs/>
        </w:rPr>
        <w:t xml:space="preserve">, </w:t>
      </w:r>
      <w:r>
        <w:rPr>
          <w:b/>
          <w:bCs/>
          <w:u w:val="single"/>
        </w:rPr>
        <w:t>and</w:t>
      </w:r>
      <w:r>
        <w:rPr>
          <w:u w:val="single"/>
        </w:rPr>
        <w:t xml:space="preserve"> </w:t>
      </w:r>
      <w:r>
        <w:rPr>
          <w:b/>
          <w:u w:val="single"/>
        </w:rPr>
        <w:t xml:space="preserve">also </w:t>
      </w:r>
      <w:r>
        <w:rPr>
          <w:u w:val="single"/>
        </w:rPr>
        <w:t>volunteer on your own at least once a class</w:t>
      </w:r>
      <w:r>
        <w:t xml:space="preserve"> that is a B.  If you do all this but also volunteer more often than once a class and have perceptive things to say, that is an A.</w:t>
      </w:r>
    </w:p>
    <w:p w:rsidR="00F86B7A" w:rsidRPr="00F86B7A" w:rsidRDefault="00F86B7A" w:rsidP="00F86B7A">
      <w:pPr>
        <w:spacing w:after="0" w:line="240" w:lineRule="auto"/>
        <w:rPr>
          <w:b/>
        </w:rPr>
      </w:pPr>
      <w:r w:rsidRPr="00F86B7A">
        <w:rPr>
          <w:b/>
        </w:rPr>
        <w:t>Semester Grade:</w:t>
      </w:r>
    </w:p>
    <w:p w:rsidR="002318AD" w:rsidRDefault="002318AD" w:rsidP="00F86B7A">
      <w:pPr>
        <w:spacing w:after="0" w:line="240" w:lineRule="auto"/>
      </w:pPr>
      <w:r>
        <w:t>Class participation:  10%</w:t>
      </w:r>
    </w:p>
    <w:p w:rsidR="002318AD" w:rsidRDefault="00784815" w:rsidP="002318AD">
      <w:pPr>
        <w:spacing w:after="0" w:line="240" w:lineRule="auto"/>
      </w:pPr>
      <w:r>
        <w:t>Paper #1:  20%</w:t>
      </w:r>
    </w:p>
    <w:p w:rsidR="002318AD" w:rsidRDefault="00784815" w:rsidP="002318AD">
      <w:pPr>
        <w:spacing w:after="0" w:line="240" w:lineRule="auto"/>
      </w:pPr>
      <w:r>
        <w:t>Paper #2:  20%</w:t>
      </w:r>
    </w:p>
    <w:p w:rsidR="00A16E2F" w:rsidRDefault="00784815" w:rsidP="002318AD">
      <w:pPr>
        <w:spacing w:after="0" w:line="240" w:lineRule="auto"/>
      </w:pPr>
      <w:r>
        <w:t>Exam 1  (Mid-Term)  20%   This exam will be in the form of take-home essays.</w:t>
      </w:r>
    </w:p>
    <w:p w:rsidR="002318AD" w:rsidRDefault="002318AD" w:rsidP="002318AD">
      <w:pPr>
        <w:spacing w:after="0" w:line="240" w:lineRule="auto"/>
      </w:pPr>
      <w:r>
        <w:t>Exam</w:t>
      </w:r>
      <w:r w:rsidR="00A16E2F">
        <w:t xml:space="preserve"> 2 (Final)</w:t>
      </w:r>
      <w:r>
        <w:t xml:space="preserve"> </w:t>
      </w:r>
      <w:r w:rsidR="009E7A09">
        <w:t>30%</w:t>
      </w:r>
      <w:r>
        <w:t xml:space="preserve">     This exam will be comprised of take-home essays due on the day of the final and a closed-book in-class portion to be taken at the final exam time.</w:t>
      </w:r>
    </w:p>
    <w:p w:rsidR="002318AD" w:rsidRDefault="002318AD" w:rsidP="002318AD">
      <w:pPr>
        <w:spacing w:after="0" w:line="240" w:lineRule="auto"/>
      </w:pPr>
    </w:p>
    <w:p w:rsidR="006403FB" w:rsidRDefault="006403FB" w:rsidP="0010186B">
      <w:pPr>
        <w:spacing w:line="240" w:lineRule="auto"/>
      </w:pPr>
      <w:r w:rsidRPr="00CF7A2C">
        <w:rPr>
          <w:b/>
          <w:u w:val="single"/>
        </w:rPr>
        <w:t>Grading</w:t>
      </w:r>
      <w:r>
        <w:rPr>
          <w:u w:val="single"/>
        </w:rPr>
        <w:t>:</w:t>
      </w:r>
      <w:r>
        <w:t xml:space="preserve"> Please realize that if your final grade is between grades (2.5 or 3.5, for example), you will receive the lower grade (the C+ or B+ for example, not the B- or A-) </w:t>
      </w:r>
      <w:r>
        <w:rPr>
          <w:u w:val="single"/>
        </w:rPr>
        <w:t>unless there is a significant reason that allows me to give you the higher grade while still being fair to others</w:t>
      </w:r>
      <w:r>
        <w:t xml:space="preserve">. For example, if your final exam is excellent and class participation excellent throughout the semester, then I can justify the higher grade.  </w:t>
      </w:r>
    </w:p>
    <w:p w:rsidR="004938E9" w:rsidRDefault="006403FB" w:rsidP="00F86B7A">
      <w:r>
        <w:rPr>
          <w:b/>
          <w:u w:val="single"/>
        </w:rPr>
        <w:t>Due Dates</w:t>
      </w:r>
      <w:r>
        <w:t xml:space="preserve">: Unless you have seen me </w:t>
      </w:r>
      <w:r>
        <w:rPr>
          <w:u w:val="single"/>
        </w:rPr>
        <w:t xml:space="preserve">before </w:t>
      </w:r>
      <w:r>
        <w:t xml:space="preserve">the day the paper is due to discuss the possibilities of an extension, a paper is due at the </w:t>
      </w:r>
      <w:r>
        <w:rPr>
          <w:u w:val="single"/>
        </w:rPr>
        <w:t>beginning</w:t>
      </w:r>
      <w:r>
        <w:t xml:space="preserve"> of the class hour on the day specified.  If a paper is late, there will be a grade penalty. If the paper is turned in later in the day, your grade will be lowered a partial grade. For example, a B will become a B-. If the paper is a full day late, the grade will be lowered a full letter grade and so on</w:t>
      </w:r>
      <w:r w:rsidR="004938E9">
        <w:t>.</w:t>
      </w:r>
    </w:p>
    <w:p w:rsidR="004938E9" w:rsidRDefault="004938E9" w:rsidP="00F86B7A">
      <w:pPr>
        <w:rPr>
          <w:b/>
          <w:bCs/>
          <w:u w:val="single"/>
        </w:rPr>
      </w:pPr>
      <w:r>
        <w:t xml:space="preserve"> </w:t>
      </w:r>
      <w:r w:rsidR="006403FB">
        <w:rPr>
          <w:b/>
          <w:bCs/>
          <w:u w:val="single"/>
        </w:rPr>
        <w:t xml:space="preserve">Papers must be submitted in printed form. Electronic submissions are not acceptable. </w:t>
      </w:r>
    </w:p>
    <w:p w:rsidR="006403FB" w:rsidRPr="004938E9" w:rsidRDefault="006403FB" w:rsidP="00F86B7A">
      <w:r>
        <w:rPr>
          <w:b/>
          <w:u w:val="single"/>
        </w:rPr>
        <w:t>The Honor Code</w:t>
      </w:r>
      <w:r>
        <w:rPr>
          <w:u w:val="single"/>
        </w:rPr>
        <w:t>:</w:t>
      </w:r>
      <w:r>
        <w:t xml:space="preserve"> Remember that </w:t>
      </w:r>
      <w:r w:rsidR="00784815">
        <w:t>you took</w:t>
      </w:r>
      <w:r>
        <w:t xml:space="preserve"> a pledge to abide by the Allegheny Honor Code.  Please read carefully the appropriate pages of </w:t>
      </w:r>
      <w:r>
        <w:rPr>
          <w:i/>
        </w:rPr>
        <w:t>The Compass</w:t>
      </w:r>
      <w:r>
        <w:t xml:space="preserve"> to remind yourselves of that code and what you have promised to follow. </w:t>
      </w:r>
      <w:r>
        <w:rPr>
          <w:u w:val="single"/>
        </w:rPr>
        <w:t xml:space="preserve">Please pay special attention to the sections on </w:t>
      </w:r>
      <w:r>
        <w:rPr>
          <w:b/>
          <w:bCs/>
          <w:u w:val="single"/>
        </w:rPr>
        <w:t>plagiarism</w:t>
      </w:r>
      <w:r>
        <w:rPr>
          <w:b/>
          <w:bCs/>
        </w:rPr>
        <w:t xml:space="preserve">. </w:t>
      </w:r>
    </w:p>
    <w:sectPr w:rsidR="006403FB" w:rsidRPr="004938E9" w:rsidSect="00145A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defaultTabStop w:val="720"/>
  <w:characterSpacingControl w:val="doNotCompress"/>
  <w:compat/>
  <w:rsids>
    <w:rsidRoot w:val="006403FB"/>
    <w:rsid w:val="000071C9"/>
    <w:rsid w:val="00065A24"/>
    <w:rsid w:val="00091B24"/>
    <w:rsid w:val="000D4FE8"/>
    <w:rsid w:val="0010186B"/>
    <w:rsid w:val="00107B60"/>
    <w:rsid w:val="00145AE7"/>
    <w:rsid w:val="00156DE5"/>
    <w:rsid w:val="00185209"/>
    <w:rsid w:val="001A0973"/>
    <w:rsid w:val="002318AD"/>
    <w:rsid w:val="002B40D4"/>
    <w:rsid w:val="0031397B"/>
    <w:rsid w:val="003B1148"/>
    <w:rsid w:val="003D1EE5"/>
    <w:rsid w:val="00443004"/>
    <w:rsid w:val="004938E9"/>
    <w:rsid w:val="00514E41"/>
    <w:rsid w:val="00537602"/>
    <w:rsid w:val="0055143C"/>
    <w:rsid w:val="006403FB"/>
    <w:rsid w:val="00644081"/>
    <w:rsid w:val="00646148"/>
    <w:rsid w:val="00682339"/>
    <w:rsid w:val="006866AE"/>
    <w:rsid w:val="007047D4"/>
    <w:rsid w:val="00714E1B"/>
    <w:rsid w:val="00731DC3"/>
    <w:rsid w:val="00775E1D"/>
    <w:rsid w:val="00784815"/>
    <w:rsid w:val="008049B1"/>
    <w:rsid w:val="00875645"/>
    <w:rsid w:val="008F5D2A"/>
    <w:rsid w:val="009241B0"/>
    <w:rsid w:val="009474A9"/>
    <w:rsid w:val="009560CF"/>
    <w:rsid w:val="0097783F"/>
    <w:rsid w:val="009920F2"/>
    <w:rsid w:val="009E7A09"/>
    <w:rsid w:val="00A16E2F"/>
    <w:rsid w:val="00AB2B00"/>
    <w:rsid w:val="00AE17B7"/>
    <w:rsid w:val="00B86E5F"/>
    <w:rsid w:val="00BD0912"/>
    <w:rsid w:val="00BE08D0"/>
    <w:rsid w:val="00CA6926"/>
    <w:rsid w:val="00CD5463"/>
    <w:rsid w:val="00D322E8"/>
    <w:rsid w:val="00DA455A"/>
    <w:rsid w:val="00E24889"/>
    <w:rsid w:val="00EA7A69"/>
    <w:rsid w:val="00F86B7A"/>
    <w:rsid w:val="00FC5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3FB"/>
    <w:rPr>
      <w:color w:val="0000FF" w:themeColor="hyperlink"/>
      <w:u w:val="single"/>
    </w:rPr>
  </w:style>
  <w:style w:type="paragraph" w:styleId="BalloonText">
    <w:name w:val="Balloon Text"/>
    <w:basedOn w:val="Normal"/>
    <w:link w:val="BalloonTextChar"/>
    <w:uiPriority w:val="99"/>
    <w:semiHidden/>
    <w:unhideWhenUsed/>
    <w:rsid w:val="0064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1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iane.damico@alleghe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Allegheny College</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ddamico</dc:creator>
  <cp:keywords/>
  <dc:description/>
  <cp:lastModifiedBy>aberdegu</cp:lastModifiedBy>
  <cp:revision>2</cp:revision>
  <cp:lastPrinted>2010-08-12T14:57:00Z</cp:lastPrinted>
  <dcterms:created xsi:type="dcterms:W3CDTF">2010-08-12T15:07:00Z</dcterms:created>
  <dcterms:modified xsi:type="dcterms:W3CDTF">2010-08-12T15:07:00Z</dcterms:modified>
</cp:coreProperties>
</file>